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5699" w14:textId="77777777" w:rsidR="001F0B8A" w:rsidRDefault="001F0B8A" w:rsidP="001F0B8A">
      <w:pPr>
        <w:spacing w:after="0" w:line="240" w:lineRule="auto"/>
        <w:jc w:val="center"/>
        <w:rPr>
          <w:rFonts w:cs="Arial"/>
          <w:b/>
          <w:bCs/>
          <w:color w:val="002060"/>
          <w:sz w:val="36"/>
          <w:szCs w:val="36"/>
          <w:u w:val="single"/>
          <w:lang w:eastAsia="en-GB"/>
        </w:rPr>
      </w:pPr>
      <w:bookmarkStart w:id="0" w:name="_Hlk151368612"/>
      <w:r>
        <w:rPr>
          <w:noProof/>
          <w:lang w:eastAsia="en-GB"/>
        </w:rPr>
        <w:drawing>
          <wp:inline distT="0" distB="0" distL="0" distR="0" wp14:anchorId="41E470EA" wp14:editId="73CC9599">
            <wp:extent cx="1630205" cy="2222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34676" cy="2228504"/>
                    </a:xfrm>
                    <a:prstGeom prst="rect">
                      <a:avLst/>
                    </a:prstGeom>
                    <a:noFill/>
                    <a:ln w="9525">
                      <a:noFill/>
                      <a:miter lim="800000"/>
                      <a:headEnd/>
                      <a:tailEnd/>
                    </a:ln>
                  </pic:spPr>
                </pic:pic>
              </a:graphicData>
            </a:graphic>
          </wp:inline>
        </w:drawing>
      </w:r>
    </w:p>
    <w:p w14:paraId="0E7FD060" w14:textId="77777777" w:rsidR="001F0B8A" w:rsidRDefault="001F0B8A" w:rsidP="001F0B8A">
      <w:pPr>
        <w:spacing w:after="0" w:line="240" w:lineRule="auto"/>
        <w:jc w:val="center"/>
        <w:rPr>
          <w:rFonts w:cs="Arial"/>
          <w:b/>
          <w:bCs/>
          <w:color w:val="002060"/>
          <w:sz w:val="48"/>
          <w:szCs w:val="36"/>
          <w:lang w:eastAsia="en-GB"/>
        </w:rPr>
      </w:pPr>
    </w:p>
    <w:p w14:paraId="5869AD78" w14:textId="20DC36EE" w:rsidR="001F0B8A" w:rsidRDefault="00796342" w:rsidP="001F0B8A">
      <w:pPr>
        <w:spacing w:after="0" w:line="240" w:lineRule="auto"/>
        <w:jc w:val="center"/>
        <w:rPr>
          <w:rFonts w:cs="Arial"/>
          <w:b/>
          <w:bCs/>
          <w:color w:val="002060"/>
          <w:sz w:val="48"/>
          <w:szCs w:val="36"/>
          <w:lang w:eastAsia="en-GB"/>
        </w:rPr>
      </w:pPr>
      <w:r>
        <w:rPr>
          <w:rFonts w:cs="Arial"/>
          <w:b/>
          <w:bCs/>
          <w:color w:val="002060"/>
          <w:sz w:val="48"/>
          <w:szCs w:val="36"/>
          <w:lang w:eastAsia="en-GB"/>
        </w:rPr>
        <w:t>FAIR WORK FIRST POLICY STATEMENT</w:t>
      </w:r>
    </w:p>
    <w:p w14:paraId="6930B014" w14:textId="77777777" w:rsidR="001F0B8A" w:rsidRDefault="001F0B8A" w:rsidP="001F0B8A">
      <w:pPr>
        <w:spacing w:after="0" w:line="240" w:lineRule="auto"/>
        <w:jc w:val="center"/>
        <w:rPr>
          <w:rFonts w:cs="Arial"/>
          <w:b/>
          <w:bCs/>
          <w:color w:val="002060"/>
          <w:sz w:val="48"/>
          <w:szCs w:val="36"/>
          <w:lang w:eastAsia="en-GB"/>
        </w:rPr>
      </w:pPr>
    </w:p>
    <w:p w14:paraId="0BDFE728" w14:textId="77777777" w:rsidR="001F0B8A" w:rsidRDefault="001F0B8A" w:rsidP="001F0B8A">
      <w:pPr>
        <w:spacing w:after="0" w:line="240" w:lineRule="auto"/>
        <w:jc w:val="center"/>
        <w:rPr>
          <w:rFonts w:cs="Arial"/>
          <w:b/>
          <w:bCs/>
          <w:color w:val="002060"/>
          <w:sz w:val="48"/>
          <w:szCs w:val="36"/>
          <w:lang w:eastAsia="en-GB"/>
        </w:rPr>
      </w:pPr>
    </w:p>
    <w:p w14:paraId="27B38E9F" w14:textId="77777777" w:rsidR="001F0B8A" w:rsidRDefault="001F0B8A" w:rsidP="001F0B8A">
      <w:pPr>
        <w:spacing w:after="0" w:line="240" w:lineRule="auto"/>
        <w:jc w:val="center"/>
        <w:rPr>
          <w:rFonts w:cs="Arial"/>
          <w:b/>
          <w:bCs/>
          <w:color w:val="002060"/>
          <w:sz w:val="48"/>
          <w:szCs w:val="36"/>
          <w:lang w:eastAsia="en-GB"/>
        </w:rPr>
      </w:pPr>
    </w:p>
    <w:p w14:paraId="2E73403B" w14:textId="77777777" w:rsidR="001F0B8A" w:rsidRDefault="001F0B8A" w:rsidP="001F0B8A">
      <w:pPr>
        <w:spacing w:after="0" w:line="240" w:lineRule="auto"/>
        <w:jc w:val="center"/>
        <w:rPr>
          <w:rFonts w:cs="Arial"/>
          <w:b/>
          <w:bCs/>
          <w:color w:val="002060"/>
          <w:sz w:val="48"/>
          <w:szCs w:val="36"/>
          <w:lang w:eastAsia="en-GB"/>
        </w:rPr>
      </w:pPr>
    </w:p>
    <w:p w14:paraId="1673E271" w14:textId="77777777" w:rsidR="001F0B8A" w:rsidRDefault="001F0B8A" w:rsidP="001F0B8A">
      <w:pPr>
        <w:spacing w:after="0" w:line="240" w:lineRule="auto"/>
        <w:jc w:val="center"/>
        <w:rPr>
          <w:rFonts w:cs="Arial"/>
          <w:b/>
          <w:bCs/>
          <w:color w:val="002060"/>
          <w:sz w:val="48"/>
          <w:szCs w:val="36"/>
          <w:lang w:eastAsia="en-GB"/>
        </w:rPr>
      </w:pPr>
    </w:p>
    <w:p w14:paraId="76C2B5B4" w14:textId="77777777" w:rsidR="001F0B8A" w:rsidRDefault="001F0B8A" w:rsidP="001F0B8A">
      <w:pPr>
        <w:spacing w:after="0" w:line="240" w:lineRule="auto"/>
        <w:jc w:val="center"/>
        <w:rPr>
          <w:rFonts w:cs="Arial"/>
          <w:b/>
          <w:bCs/>
          <w:color w:val="002060"/>
          <w:sz w:val="48"/>
          <w:szCs w:val="36"/>
          <w:lang w:eastAsia="en-GB"/>
        </w:rPr>
      </w:pPr>
    </w:p>
    <w:p w14:paraId="26C1C47C" w14:textId="77777777" w:rsidR="001F0B8A" w:rsidRDefault="001F0B8A" w:rsidP="001F0B8A">
      <w:pPr>
        <w:spacing w:after="0" w:line="240" w:lineRule="auto"/>
        <w:jc w:val="center"/>
        <w:rPr>
          <w:rFonts w:cs="Arial"/>
          <w:b/>
          <w:bCs/>
          <w:color w:val="002060"/>
          <w:sz w:val="48"/>
          <w:szCs w:val="36"/>
          <w:lang w:eastAsia="en-GB"/>
        </w:rPr>
      </w:pPr>
    </w:p>
    <w:p w14:paraId="729B99E4" w14:textId="77777777" w:rsidR="001F0B8A" w:rsidRDefault="001F0B8A" w:rsidP="001F0B8A">
      <w:pPr>
        <w:spacing w:after="0" w:line="240" w:lineRule="auto"/>
        <w:jc w:val="center"/>
        <w:rPr>
          <w:rFonts w:cs="Arial"/>
          <w:b/>
          <w:bCs/>
          <w:color w:val="002060"/>
          <w:sz w:val="48"/>
          <w:szCs w:val="36"/>
          <w:lang w:eastAsia="en-GB"/>
        </w:rPr>
      </w:pPr>
    </w:p>
    <w:p w14:paraId="566BBFA8" w14:textId="77777777" w:rsidR="001F0B8A" w:rsidRDefault="001F0B8A" w:rsidP="001F0B8A">
      <w:pPr>
        <w:spacing w:after="0" w:line="240" w:lineRule="auto"/>
        <w:jc w:val="center"/>
        <w:rPr>
          <w:rFonts w:cs="Arial"/>
          <w:b/>
          <w:bCs/>
          <w:color w:val="002060"/>
          <w:sz w:val="48"/>
          <w:szCs w:val="36"/>
          <w:lang w:eastAsia="en-GB"/>
        </w:rPr>
      </w:pPr>
    </w:p>
    <w:p w14:paraId="7EA4655F" w14:textId="77777777" w:rsidR="001F0B8A" w:rsidRPr="001C5BF6" w:rsidRDefault="001F0B8A" w:rsidP="001F0B8A">
      <w:pPr>
        <w:tabs>
          <w:tab w:val="left" w:pos="2611"/>
        </w:tabs>
        <w:spacing w:after="0" w:line="240" w:lineRule="auto"/>
        <w:rPr>
          <w:rFonts w:cs="Arial"/>
          <w:b/>
          <w:bCs/>
          <w:color w:val="002060"/>
          <w:sz w:val="48"/>
          <w:szCs w:val="36"/>
          <w:lang w:eastAsia="en-GB"/>
        </w:rPr>
      </w:pPr>
      <w:r>
        <w:rPr>
          <w:rFonts w:cs="Arial"/>
          <w:b/>
          <w:bCs/>
          <w:color w:val="002060"/>
          <w:sz w:val="48"/>
          <w:szCs w:val="36"/>
          <w:lang w:eastAsia="en-GB"/>
        </w:rPr>
        <w:tab/>
      </w:r>
    </w:p>
    <w:tbl>
      <w:tblPr>
        <w:tblStyle w:val="TableGrid"/>
        <w:tblW w:w="0" w:type="auto"/>
        <w:tblLook w:val="04A0" w:firstRow="1" w:lastRow="0" w:firstColumn="1" w:lastColumn="0" w:noHBand="0" w:noVBand="1"/>
      </w:tblPr>
      <w:tblGrid>
        <w:gridCol w:w="2310"/>
        <w:gridCol w:w="2310"/>
        <w:gridCol w:w="2311"/>
        <w:gridCol w:w="2311"/>
      </w:tblGrid>
      <w:tr w:rsidR="001F0B8A" w14:paraId="7C84AE78" w14:textId="77777777" w:rsidTr="00D14890">
        <w:trPr>
          <w:trHeight w:val="300"/>
        </w:trPr>
        <w:tc>
          <w:tcPr>
            <w:tcW w:w="2310" w:type="dxa"/>
          </w:tcPr>
          <w:p w14:paraId="03D1E972" w14:textId="746F2865" w:rsidR="001F0B8A" w:rsidRDefault="001F0B8A" w:rsidP="00D14890">
            <w:pPr>
              <w:rPr>
                <w:rFonts w:asciiTheme="minorHAnsi" w:hAnsiTheme="minorHAnsi" w:cs="Arial"/>
                <w:color w:val="002060"/>
                <w:sz w:val="24"/>
                <w:szCs w:val="24"/>
              </w:rPr>
            </w:pPr>
          </w:p>
        </w:tc>
        <w:tc>
          <w:tcPr>
            <w:tcW w:w="2310" w:type="dxa"/>
          </w:tcPr>
          <w:p w14:paraId="26F57EAD" w14:textId="0B41BFFE" w:rsidR="001F0B8A" w:rsidRDefault="001F0B8A" w:rsidP="00D14890">
            <w:pPr>
              <w:rPr>
                <w:rFonts w:asciiTheme="minorHAnsi" w:hAnsiTheme="minorHAnsi" w:cs="Arial"/>
                <w:color w:val="002060"/>
                <w:sz w:val="24"/>
                <w:szCs w:val="24"/>
              </w:rPr>
            </w:pPr>
          </w:p>
        </w:tc>
        <w:tc>
          <w:tcPr>
            <w:tcW w:w="2311" w:type="dxa"/>
          </w:tcPr>
          <w:p w14:paraId="33097888" w14:textId="252B5AA9" w:rsidR="001F0B8A" w:rsidRDefault="001F0B8A" w:rsidP="00D14890">
            <w:pPr>
              <w:rPr>
                <w:rFonts w:asciiTheme="minorHAnsi" w:hAnsiTheme="minorHAnsi" w:cs="Arial"/>
                <w:color w:val="002060"/>
                <w:sz w:val="24"/>
                <w:szCs w:val="24"/>
              </w:rPr>
            </w:pPr>
          </w:p>
        </w:tc>
        <w:tc>
          <w:tcPr>
            <w:tcW w:w="2311" w:type="dxa"/>
          </w:tcPr>
          <w:p w14:paraId="0D61D067" w14:textId="0482B376" w:rsidR="001F0B8A" w:rsidRDefault="001F0B8A" w:rsidP="00D14890">
            <w:pPr>
              <w:rPr>
                <w:rFonts w:asciiTheme="minorHAnsi" w:hAnsiTheme="minorHAnsi" w:cs="Arial"/>
                <w:color w:val="002060"/>
                <w:sz w:val="24"/>
                <w:szCs w:val="24"/>
              </w:rPr>
            </w:pPr>
          </w:p>
        </w:tc>
      </w:tr>
      <w:tr w:rsidR="001F0B8A" w14:paraId="27F6A3BC" w14:textId="77777777" w:rsidTr="00D14890">
        <w:tc>
          <w:tcPr>
            <w:tcW w:w="2310" w:type="dxa"/>
          </w:tcPr>
          <w:p w14:paraId="0926347F" w14:textId="317CB3B7" w:rsidR="001F0B8A" w:rsidRPr="00627685" w:rsidRDefault="001F0B8A" w:rsidP="00D14890">
            <w:pPr>
              <w:rPr>
                <w:rFonts w:asciiTheme="minorHAnsi" w:hAnsiTheme="minorHAnsi" w:cs="Arial"/>
                <w:bCs/>
                <w:color w:val="002060"/>
                <w:sz w:val="24"/>
                <w:szCs w:val="36"/>
              </w:rPr>
            </w:pPr>
          </w:p>
        </w:tc>
        <w:tc>
          <w:tcPr>
            <w:tcW w:w="2310" w:type="dxa"/>
          </w:tcPr>
          <w:p w14:paraId="19B8AC34" w14:textId="2B6DE1D0" w:rsidR="001F0B8A" w:rsidRDefault="001F0B8A" w:rsidP="00D14890">
            <w:pPr>
              <w:rPr>
                <w:rFonts w:asciiTheme="minorHAnsi" w:hAnsiTheme="minorHAnsi" w:cs="Arial"/>
                <w:bCs/>
                <w:color w:val="002060"/>
                <w:sz w:val="24"/>
                <w:szCs w:val="36"/>
              </w:rPr>
            </w:pPr>
          </w:p>
        </w:tc>
        <w:tc>
          <w:tcPr>
            <w:tcW w:w="2311" w:type="dxa"/>
          </w:tcPr>
          <w:p w14:paraId="5CB305FB" w14:textId="7402D337" w:rsidR="001F0B8A" w:rsidRDefault="001F0B8A" w:rsidP="00D14890">
            <w:pPr>
              <w:rPr>
                <w:rFonts w:asciiTheme="minorHAnsi" w:hAnsiTheme="minorHAnsi" w:cs="Arial"/>
                <w:bCs/>
                <w:color w:val="002060"/>
                <w:sz w:val="24"/>
                <w:szCs w:val="36"/>
              </w:rPr>
            </w:pPr>
          </w:p>
        </w:tc>
        <w:tc>
          <w:tcPr>
            <w:tcW w:w="2311" w:type="dxa"/>
          </w:tcPr>
          <w:p w14:paraId="5AF945C6" w14:textId="676DA293" w:rsidR="001F0B8A" w:rsidRDefault="001F0B8A" w:rsidP="00D14890">
            <w:pPr>
              <w:rPr>
                <w:rFonts w:asciiTheme="minorHAnsi" w:hAnsiTheme="minorHAnsi" w:cs="Arial"/>
                <w:bCs/>
                <w:color w:val="002060"/>
                <w:sz w:val="24"/>
                <w:szCs w:val="36"/>
              </w:rPr>
            </w:pPr>
          </w:p>
        </w:tc>
      </w:tr>
      <w:tr w:rsidR="001F0B8A" w14:paraId="5F5F6C32" w14:textId="77777777" w:rsidTr="00D14890">
        <w:tc>
          <w:tcPr>
            <w:tcW w:w="2310" w:type="dxa"/>
          </w:tcPr>
          <w:p w14:paraId="3BF41EDE" w14:textId="4EA19177" w:rsidR="001F0B8A" w:rsidRPr="00627685" w:rsidRDefault="001F0B8A" w:rsidP="00D14890">
            <w:pPr>
              <w:rPr>
                <w:rFonts w:asciiTheme="minorHAnsi" w:hAnsiTheme="minorHAnsi" w:cs="Arial"/>
                <w:bCs/>
                <w:color w:val="002060"/>
                <w:sz w:val="36"/>
                <w:szCs w:val="36"/>
              </w:rPr>
            </w:pPr>
          </w:p>
        </w:tc>
        <w:tc>
          <w:tcPr>
            <w:tcW w:w="2310" w:type="dxa"/>
          </w:tcPr>
          <w:p w14:paraId="1F50EDA3" w14:textId="4DF517DE" w:rsidR="001F0B8A" w:rsidRPr="00627685" w:rsidRDefault="001F0B8A" w:rsidP="00D14890">
            <w:pPr>
              <w:rPr>
                <w:rFonts w:asciiTheme="minorHAnsi" w:hAnsiTheme="minorHAnsi" w:cs="Arial"/>
                <w:bCs/>
                <w:color w:val="002060"/>
                <w:sz w:val="24"/>
                <w:szCs w:val="36"/>
              </w:rPr>
            </w:pPr>
          </w:p>
        </w:tc>
        <w:tc>
          <w:tcPr>
            <w:tcW w:w="2311" w:type="dxa"/>
          </w:tcPr>
          <w:p w14:paraId="7EB94886" w14:textId="6C3F282C" w:rsidR="001F0B8A" w:rsidRPr="00627685" w:rsidRDefault="001F0B8A" w:rsidP="00D14890">
            <w:pPr>
              <w:rPr>
                <w:rFonts w:asciiTheme="minorHAnsi" w:hAnsiTheme="minorHAnsi" w:cs="Arial"/>
                <w:bCs/>
                <w:color w:val="002060"/>
                <w:sz w:val="24"/>
                <w:szCs w:val="36"/>
              </w:rPr>
            </w:pPr>
          </w:p>
        </w:tc>
        <w:tc>
          <w:tcPr>
            <w:tcW w:w="2311" w:type="dxa"/>
          </w:tcPr>
          <w:p w14:paraId="2520335E" w14:textId="18075471" w:rsidR="001F0B8A" w:rsidRPr="00627685" w:rsidRDefault="001F0B8A" w:rsidP="00D14890">
            <w:pPr>
              <w:rPr>
                <w:rFonts w:asciiTheme="minorHAnsi" w:hAnsiTheme="minorHAnsi" w:cs="Arial"/>
                <w:bCs/>
                <w:color w:val="002060"/>
                <w:sz w:val="24"/>
                <w:szCs w:val="36"/>
              </w:rPr>
            </w:pPr>
          </w:p>
        </w:tc>
      </w:tr>
      <w:tr w:rsidR="001F0B8A" w14:paraId="70F776D7" w14:textId="77777777" w:rsidTr="00D14890">
        <w:tc>
          <w:tcPr>
            <w:tcW w:w="2310" w:type="dxa"/>
          </w:tcPr>
          <w:p w14:paraId="0DDADBCB" w14:textId="77777777" w:rsidR="001F0B8A" w:rsidRPr="00627685" w:rsidRDefault="001F0B8A" w:rsidP="00D14890">
            <w:pPr>
              <w:rPr>
                <w:rFonts w:cs="Arial"/>
                <w:bCs/>
                <w:color w:val="002060"/>
                <w:sz w:val="36"/>
                <w:szCs w:val="36"/>
              </w:rPr>
            </w:pPr>
          </w:p>
        </w:tc>
        <w:tc>
          <w:tcPr>
            <w:tcW w:w="2310" w:type="dxa"/>
          </w:tcPr>
          <w:p w14:paraId="202EA6E2" w14:textId="77777777" w:rsidR="001F0B8A" w:rsidRPr="00627685" w:rsidRDefault="001F0B8A" w:rsidP="00D14890">
            <w:pPr>
              <w:rPr>
                <w:rFonts w:cs="Arial"/>
                <w:bCs/>
                <w:color w:val="002060"/>
                <w:sz w:val="24"/>
                <w:szCs w:val="36"/>
              </w:rPr>
            </w:pPr>
          </w:p>
        </w:tc>
        <w:tc>
          <w:tcPr>
            <w:tcW w:w="2311" w:type="dxa"/>
          </w:tcPr>
          <w:p w14:paraId="38C4DF0E" w14:textId="77777777" w:rsidR="001F0B8A" w:rsidRPr="00627685" w:rsidRDefault="001F0B8A" w:rsidP="00D14890">
            <w:pPr>
              <w:rPr>
                <w:rFonts w:cs="Arial"/>
                <w:bCs/>
                <w:color w:val="002060"/>
                <w:sz w:val="24"/>
                <w:szCs w:val="36"/>
              </w:rPr>
            </w:pPr>
          </w:p>
        </w:tc>
        <w:tc>
          <w:tcPr>
            <w:tcW w:w="2311" w:type="dxa"/>
          </w:tcPr>
          <w:p w14:paraId="73ADE357" w14:textId="77777777" w:rsidR="001F0B8A" w:rsidRPr="00627685" w:rsidRDefault="001F0B8A" w:rsidP="00D14890">
            <w:pPr>
              <w:rPr>
                <w:rFonts w:cs="Arial"/>
                <w:bCs/>
                <w:color w:val="002060"/>
                <w:sz w:val="24"/>
                <w:szCs w:val="36"/>
              </w:rPr>
            </w:pPr>
          </w:p>
        </w:tc>
      </w:tr>
      <w:tr w:rsidR="001F0B8A" w14:paraId="15D5B098" w14:textId="77777777" w:rsidTr="00D14890">
        <w:tc>
          <w:tcPr>
            <w:tcW w:w="2310" w:type="dxa"/>
          </w:tcPr>
          <w:p w14:paraId="6AC6AC34" w14:textId="77777777" w:rsidR="001F0B8A" w:rsidRPr="001C5BF6"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Version 0</w:t>
            </w:r>
          </w:p>
        </w:tc>
        <w:tc>
          <w:tcPr>
            <w:tcW w:w="2310" w:type="dxa"/>
          </w:tcPr>
          <w:p w14:paraId="62C93243" w14:textId="77777777" w:rsidR="001F0B8A" w:rsidRPr="00627685"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Original for Issue</w:t>
            </w:r>
          </w:p>
        </w:tc>
        <w:tc>
          <w:tcPr>
            <w:tcW w:w="2311" w:type="dxa"/>
          </w:tcPr>
          <w:p w14:paraId="5B9A196B" w14:textId="6BE43AE3" w:rsidR="001F0B8A" w:rsidRPr="00627685"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 xml:space="preserve">Approved: </w:t>
            </w:r>
            <w:r w:rsidR="009328ED">
              <w:rPr>
                <w:rFonts w:asciiTheme="minorHAnsi" w:hAnsiTheme="minorHAnsi" w:cs="Arial"/>
                <w:bCs/>
                <w:color w:val="002060"/>
                <w:sz w:val="24"/>
                <w:szCs w:val="36"/>
              </w:rPr>
              <w:t>Board</w:t>
            </w:r>
          </w:p>
        </w:tc>
        <w:tc>
          <w:tcPr>
            <w:tcW w:w="2311" w:type="dxa"/>
          </w:tcPr>
          <w:p w14:paraId="41CDF8FC" w14:textId="7850965F" w:rsidR="001F0B8A" w:rsidRPr="00627685"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Date: Oct 2023</w:t>
            </w:r>
          </w:p>
        </w:tc>
      </w:tr>
      <w:bookmarkEnd w:id="0"/>
    </w:tbl>
    <w:p w14:paraId="7B2E720E" w14:textId="71EB9DB6" w:rsidR="000B18A6" w:rsidRDefault="000B18A6" w:rsidP="000B18A6">
      <w:pPr>
        <w:spacing w:after="0" w:line="240" w:lineRule="auto"/>
        <w:jc w:val="center"/>
        <w:outlineLvl w:val="0"/>
        <w:rPr>
          <w:noProof/>
        </w:rPr>
      </w:pPr>
    </w:p>
    <w:p w14:paraId="79EEFB27" w14:textId="77777777" w:rsidR="001F0B8A" w:rsidRDefault="001F0B8A" w:rsidP="000B18A6">
      <w:pPr>
        <w:spacing w:after="0" w:line="240" w:lineRule="auto"/>
        <w:jc w:val="center"/>
        <w:outlineLvl w:val="0"/>
        <w:rPr>
          <w:noProof/>
        </w:rPr>
      </w:pPr>
    </w:p>
    <w:p w14:paraId="722245A7" w14:textId="77777777" w:rsidR="001F0B8A" w:rsidRDefault="001F0B8A" w:rsidP="000B18A6">
      <w:pPr>
        <w:spacing w:after="0" w:line="240" w:lineRule="auto"/>
        <w:jc w:val="center"/>
        <w:outlineLvl w:val="0"/>
        <w:rPr>
          <w:noProof/>
        </w:rPr>
      </w:pPr>
    </w:p>
    <w:p w14:paraId="00E12197" w14:textId="77777777" w:rsidR="001F0B8A" w:rsidRDefault="001F0B8A" w:rsidP="000B18A6">
      <w:pPr>
        <w:spacing w:after="0" w:line="240" w:lineRule="auto"/>
        <w:jc w:val="center"/>
        <w:outlineLvl w:val="0"/>
        <w:rPr>
          <w:noProof/>
        </w:rPr>
      </w:pPr>
    </w:p>
    <w:p w14:paraId="3C728570" w14:textId="77777777" w:rsidR="001F0B8A" w:rsidRDefault="001F0B8A" w:rsidP="000B18A6">
      <w:pPr>
        <w:spacing w:after="0" w:line="240" w:lineRule="auto"/>
        <w:jc w:val="center"/>
        <w:outlineLvl w:val="0"/>
        <w:rPr>
          <w:noProof/>
        </w:rPr>
      </w:pPr>
    </w:p>
    <w:p w14:paraId="17939926" w14:textId="77777777" w:rsidR="001F0B8A" w:rsidRDefault="001F0B8A" w:rsidP="000B18A6">
      <w:pPr>
        <w:spacing w:after="0" w:line="240" w:lineRule="auto"/>
        <w:jc w:val="center"/>
        <w:outlineLvl w:val="0"/>
        <w:rPr>
          <w:noProof/>
        </w:rPr>
      </w:pPr>
    </w:p>
    <w:p w14:paraId="507C4CB8" w14:textId="77777777" w:rsidR="001F0B8A" w:rsidRDefault="001F0B8A" w:rsidP="000B18A6">
      <w:pPr>
        <w:spacing w:after="0" w:line="240" w:lineRule="auto"/>
        <w:jc w:val="center"/>
        <w:outlineLvl w:val="0"/>
        <w:rPr>
          <w:noProof/>
        </w:rPr>
      </w:pPr>
    </w:p>
    <w:p w14:paraId="256092EB" w14:textId="77777777" w:rsidR="001F0B8A" w:rsidRDefault="001F0B8A" w:rsidP="000B18A6">
      <w:pPr>
        <w:spacing w:after="0" w:line="240" w:lineRule="auto"/>
        <w:jc w:val="center"/>
        <w:outlineLvl w:val="0"/>
        <w:rPr>
          <w:noProof/>
        </w:rPr>
      </w:pPr>
    </w:p>
    <w:p w14:paraId="2BB171B6" w14:textId="77777777" w:rsidR="001F0B8A" w:rsidRDefault="001F0B8A" w:rsidP="000B18A6">
      <w:pPr>
        <w:spacing w:after="0" w:line="240" w:lineRule="auto"/>
        <w:jc w:val="center"/>
        <w:outlineLvl w:val="0"/>
        <w:rPr>
          <w:noProof/>
        </w:rPr>
      </w:pPr>
    </w:p>
    <w:p w14:paraId="094BD9A1" w14:textId="77777777" w:rsidR="001F0B8A" w:rsidRDefault="001F0B8A" w:rsidP="000B18A6">
      <w:pPr>
        <w:spacing w:after="0" w:line="240" w:lineRule="auto"/>
        <w:jc w:val="center"/>
        <w:outlineLvl w:val="0"/>
        <w:rPr>
          <w:noProof/>
        </w:rPr>
      </w:pPr>
    </w:p>
    <w:p w14:paraId="23E5C38A" w14:textId="77777777" w:rsidR="001F0B8A" w:rsidRDefault="001F0B8A" w:rsidP="000B18A6">
      <w:pPr>
        <w:spacing w:after="0" w:line="240" w:lineRule="auto"/>
        <w:jc w:val="center"/>
        <w:outlineLvl w:val="0"/>
        <w:rPr>
          <w:noProof/>
        </w:rPr>
      </w:pPr>
    </w:p>
    <w:p w14:paraId="3AED28FA" w14:textId="77777777" w:rsidR="001F0B8A" w:rsidRDefault="001F0B8A" w:rsidP="000B18A6">
      <w:pPr>
        <w:spacing w:after="0" w:line="240" w:lineRule="auto"/>
        <w:jc w:val="center"/>
        <w:outlineLvl w:val="0"/>
        <w:rPr>
          <w:noProof/>
        </w:rPr>
      </w:pPr>
    </w:p>
    <w:p w14:paraId="289C0AF6" w14:textId="77777777" w:rsidR="001F0B8A" w:rsidRDefault="001F0B8A" w:rsidP="000B18A6">
      <w:pPr>
        <w:spacing w:after="0" w:line="240" w:lineRule="auto"/>
        <w:jc w:val="center"/>
        <w:outlineLvl w:val="0"/>
        <w:rPr>
          <w:noProof/>
        </w:rPr>
      </w:pPr>
    </w:p>
    <w:p w14:paraId="60212093" w14:textId="77777777" w:rsidR="001F0B8A" w:rsidRDefault="001F0B8A" w:rsidP="000B18A6">
      <w:pPr>
        <w:spacing w:after="0" w:line="240" w:lineRule="auto"/>
        <w:jc w:val="center"/>
        <w:outlineLvl w:val="0"/>
        <w:rPr>
          <w:b/>
          <w:bCs/>
          <w:sz w:val="32"/>
          <w:szCs w:val="32"/>
        </w:rPr>
      </w:pPr>
    </w:p>
    <w:p w14:paraId="64E59BA6" w14:textId="571AA9A1" w:rsidR="00B16D43" w:rsidRPr="00796342" w:rsidRDefault="00B16D43" w:rsidP="000B18A6">
      <w:pPr>
        <w:spacing w:after="0" w:line="240" w:lineRule="auto"/>
        <w:jc w:val="center"/>
        <w:outlineLvl w:val="0"/>
        <w:rPr>
          <w:b/>
          <w:bCs/>
          <w:color w:val="2F5496" w:themeColor="accent1" w:themeShade="BF"/>
          <w:sz w:val="32"/>
          <w:szCs w:val="32"/>
        </w:rPr>
      </w:pPr>
      <w:r w:rsidRPr="00796342">
        <w:rPr>
          <w:b/>
          <w:bCs/>
          <w:color w:val="2F5496" w:themeColor="accent1" w:themeShade="BF"/>
          <w:sz w:val="32"/>
          <w:szCs w:val="32"/>
        </w:rPr>
        <w:lastRenderedPageBreak/>
        <w:t xml:space="preserve">Ross Sutherland Rugby Football Club </w:t>
      </w:r>
      <w:r w:rsidR="00796342">
        <w:rPr>
          <w:b/>
          <w:bCs/>
          <w:color w:val="2F5496" w:themeColor="accent1" w:themeShade="BF"/>
          <w:sz w:val="32"/>
          <w:szCs w:val="32"/>
        </w:rPr>
        <w:t>Fair Work First Policy Statement</w:t>
      </w:r>
      <w:r w:rsidRPr="00796342">
        <w:rPr>
          <w:b/>
          <w:bCs/>
          <w:color w:val="2F5496" w:themeColor="accent1" w:themeShade="BF"/>
          <w:sz w:val="32"/>
          <w:szCs w:val="32"/>
        </w:rPr>
        <w:t xml:space="preserve"> </w:t>
      </w:r>
    </w:p>
    <w:p w14:paraId="737FF1F2" w14:textId="77777777" w:rsidR="00B16D43" w:rsidRPr="001E284E" w:rsidRDefault="00B16D43" w:rsidP="000B18A6">
      <w:pPr>
        <w:spacing w:after="0" w:line="240" w:lineRule="auto"/>
        <w:jc w:val="center"/>
        <w:outlineLvl w:val="0"/>
        <w:rPr>
          <w:sz w:val="24"/>
          <w:szCs w:val="24"/>
        </w:rPr>
      </w:pPr>
    </w:p>
    <w:p w14:paraId="22AA9966" w14:textId="77777777" w:rsidR="00796342" w:rsidRPr="00793828" w:rsidRDefault="00796342" w:rsidP="00796342">
      <w:pPr>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Our commitment to the Fair Work First criteria Article 12 in Scotland is committed to advancing the Fair Work First criteria. </w:t>
      </w:r>
    </w:p>
    <w:p w14:paraId="0C6AD358" w14:textId="77777777" w:rsidR="00796342" w:rsidRPr="00793828" w:rsidRDefault="00796342" w:rsidP="00796342">
      <w:pPr>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The following outlines the key steps we are taking/will take against the five dimensions of the Fair Work Framework as we progress our commitment to Fair Work First practices.</w:t>
      </w:r>
    </w:p>
    <w:p w14:paraId="550392EA" w14:textId="77777777" w:rsidR="00796342" w:rsidRPr="00793828" w:rsidRDefault="00796342" w:rsidP="00796342">
      <w:pPr>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 This policy will be reviewed annually. </w:t>
      </w:r>
    </w:p>
    <w:p w14:paraId="69CEF028" w14:textId="42E01782" w:rsidR="00796342" w:rsidRPr="00793828" w:rsidRDefault="00796342" w:rsidP="00796342">
      <w:pPr>
        <w:pStyle w:val="ListParagraph"/>
        <w:numPr>
          <w:ilvl w:val="0"/>
          <w:numId w:val="5"/>
        </w:numPr>
        <w:shd w:val="clear" w:color="auto" w:fill="FFFFFF"/>
        <w:spacing w:before="100" w:beforeAutospacing="1" w:after="100" w:afterAutospacing="1" w:line="240" w:lineRule="auto"/>
        <w:rPr>
          <w:b/>
          <w:bCs/>
          <w:color w:val="2F5496" w:themeColor="accent1" w:themeShade="BF"/>
          <w:sz w:val="24"/>
          <w:szCs w:val="24"/>
        </w:rPr>
      </w:pPr>
      <w:r w:rsidRPr="00793828">
        <w:rPr>
          <w:b/>
          <w:bCs/>
          <w:color w:val="2F5496" w:themeColor="accent1" w:themeShade="BF"/>
          <w:sz w:val="24"/>
          <w:szCs w:val="24"/>
        </w:rPr>
        <w:t xml:space="preserve">Effective Voice </w:t>
      </w:r>
    </w:p>
    <w:p w14:paraId="5D1DDF3F" w14:textId="77777777" w:rsidR="00796342" w:rsidRPr="00793828" w:rsidRDefault="00796342" w:rsidP="00796342">
      <w:pPr>
        <w:pStyle w:val="ListParagraph"/>
        <w:shd w:val="clear" w:color="auto" w:fill="FFFFFF"/>
        <w:spacing w:before="100" w:beforeAutospacing="1" w:after="100" w:afterAutospacing="1" w:line="240" w:lineRule="auto"/>
        <w:rPr>
          <w:color w:val="2F5496" w:themeColor="accent1" w:themeShade="BF"/>
          <w:sz w:val="24"/>
          <w:szCs w:val="24"/>
        </w:rPr>
      </w:pPr>
    </w:p>
    <w:p w14:paraId="451DDD93" w14:textId="77777777" w:rsidR="00796342" w:rsidRPr="00793828" w:rsidRDefault="00796342" w:rsidP="00796342">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Our non-hierarchical organisational structures, practices and culture of openness, transparency and tolerance of differing viewpoints provide an environment wherein real collective dialogue and devolved decision making on strategy and tasks can take place. our commitment is to a workplace environment where the individual and collective voice can be exercised effectively.</w:t>
      </w:r>
    </w:p>
    <w:p w14:paraId="504B5C97" w14:textId="440C05CA" w:rsidR="00796342" w:rsidRPr="00793828" w:rsidRDefault="00796342" w:rsidP="00796342">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We demonstrate the effectiveness of this commitment with regular feedback from all members of the workforce and the Board of Trustees. </w:t>
      </w:r>
    </w:p>
    <w:p w14:paraId="0DA2A7D0" w14:textId="77777777" w:rsidR="00796342" w:rsidRPr="00793828" w:rsidRDefault="00796342" w:rsidP="00796342">
      <w:pPr>
        <w:pStyle w:val="ListParagraph"/>
        <w:shd w:val="clear" w:color="auto" w:fill="FFFFFF"/>
        <w:spacing w:before="100" w:beforeAutospacing="1" w:after="100" w:afterAutospacing="1" w:line="240" w:lineRule="auto"/>
        <w:rPr>
          <w:color w:val="2F5496" w:themeColor="accent1" w:themeShade="BF"/>
          <w:sz w:val="24"/>
          <w:szCs w:val="24"/>
        </w:rPr>
      </w:pPr>
    </w:p>
    <w:p w14:paraId="616BA40B" w14:textId="79811FD2" w:rsidR="00796342" w:rsidRPr="00793828" w:rsidRDefault="00796342" w:rsidP="00796342">
      <w:pPr>
        <w:pStyle w:val="ListParagraph"/>
        <w:numPr>
          <w:ilvl w:val="0"/>
          <w:numId w:val="5"/>
        </w:numPr>
        <w:shd w:val="clear" w:color="auto" w:fill="FFFFFF"/>
        <w:spacing w:before="100" w:beforeAutospacing="1" w:after="100" w:afterAutospacing="1" w:line="240" w:lineRule="auto"/>
        <w:rPr>
          <w:b/>
          <w:bCs/>
          <w:color w:val="2F5496" w:themeColor="accent1" w:themeShade="BF"/>
          <w:sz w:val="24"/>
          <w:szCs w:val="24"/>
        </w:rPr>
      </w:pPr>
      <w:r w:rsidRPr="00793828">
        <w:rPr>
          <w:b/>
          <w:bCs/>
          <w:color w:val="2F5496" w:themeColor="accent1" w:themeShade="BF"/>
          <w:sz w:val="24"/>
          <w:szCs w:val="24"/>
        </w:rPr>
        <w:t xml:space="preserve">Opportunity </w:t>
      </w:r>
    </w:p>
    <w:p w14:paraId="2E48E62C" w14:textId="77777777" w:rsidR="006F4FDB" w:rsidRPr="00793828" w:rsidRDefault="006F4FDB" w:rsidP="006F4FDB">
      <w:pPr>
        <w:pStyle w:val="ListParagraph"/>
        <w:shd w:val="clear" w:color="auto" w:fill="FFFFFF"/>
        <w:spacing w:before="100" w:beforeAutospacing="1" w:after="100" w:afterAutospacing="1" w:line="240" w:lineRule="auto"/>
        <w:rPr>
          <w:b/>
          <w:bCs/>
          <w:color w:val="2F5496" w:themeColor="accent1" w:themeShade="BF"/>
          <w:sz w:val="24"/>
          <w:szCs w:val="24"/>
        </w:rPr>
      </w:pPr>
    </w:p>
    <w:p w14:paraId="69D93C99" w14:textId="77777777" w:rsidR="00796342" w:rsidRPr="00793828" w:rsidRDefault="00796342" w:rsidP="00796342">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Members of our workforce are encouraged to identify learning and development needs and include these in their work plans or continuous professional development logs. Where specific formal training or learning is identified and where funding is available, the individual will be encouraged and supported to engage in relevant courses or workshops. </w:t>
      </w:r>
    </w:p>
    <w:p w14:paraId="63EC185C" w14:textId="77777777" w:rsidR="00796342" w:rsidRPr="00793828" w:rsidRDefault="00796342" w:rsidP="00796342">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We support under qualified members of the workforce and individuals from the marginalised communities we work for and with to gain formal and non-formal qualifications to enhance their future career opportunities, either within or out with our organisation. </w:t>
      </w:r>
    </w:p>
    <w:p w14:paraId="24C05FD9" w14:textId="338ACD00" w:rsidR="006F4FDB" w:rsidRPr="00793828" w:rsidRDefault="00796342" w:rsidP="00796342">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We strive for an inclusive and diverse workforce. To help achieve this we have established processes that aim to prevent bias and barriers when recruiting. </w:t>
      </w:r>
      <w:r w:rsidR="006F4FDB" w:rsidRPr="00793828">
        <w:rPr>
          <w:color w:val="2F5496" w:themeColor="accent1" w:themeShade="BF"/>
          <w:sz w:val="24"/>
          <w:szCs w:val="24"/>
        </w:rPr>
        <w:t xml:space="preserve">The recruitment of </w:t>
      </w:r>
      <w:proofErr w:type="gramStart"/>
      <w:r w:rsidR="006F4FDB" w:rsidRPr="00793828">
        <w:rPr>
          <w:color w:val="2F5496" w:themeColor="accent1" w:themeShade="BF"/>
          <w:sz w:val="24"/>
          <w:szCs w:val="24"/>
        </w:rPr>
        <w:t>rugby based</w:t>
      </w:r>
      <w:proofErr w:type="gramEnd"/>
      <w:r w:rsidR="006F4FDB" w:rsidRPr="00793828">
        <w:rPr>
          <w:color w:val="2F5496" w:themeColor="accent1" w:themeShade="BF"/>
          <w:sz w:val="24"/>
          <w:szCs w:val="24"/>
        </w:rPr>
        <w:t xml:space="preserve"> posts, we follow SRU (Scottish Rugby Union) criteria.</w:t>
      </w:r>
    </w:p>
    <w:p w14:paraId="15BFB2FB" w14:textId="77777777" w:rsidR="006F4FDB" w:rsidRPr="00793828" w:rsidRDefault="006F4FDB" w:rsidP="00796342">
      <w:pPr>
        <w:pStyle w:val="ListParagraph"/>
        <w:shd w:val="clear" w:color="auto" w:fill="FFFFFF"/>
        <w:spacing w:before="100" w:beforeAutospacing="1" w:after="100" w:afterAutospacing="1" w:line="240" w:lineRule="auto"/>
        <w:rPr>
          <w:color w:val="2F5496" w:themeColor="accent1" w:themeShade="BF"/>
          <w:sz w:val="24"/>
          <w:szCs w:val="24"/>
        </w:rPr>
      </w:pPr>
    </w:p>
    <w:p w14:paraId="45DD4F16" w14:textId="562FDE3A" w:rsidR="006F4FDB" w:rsidRPr="00793828" w:rsidRDefault="00796342" w:rsidP="006F4FDB">
      <w:pPr>
        <w:pStyle w:val="ListParagraph"/>
        <w:numPr>
          <w:ilvl w:val="0"/>
          <w:numId w:val="5"/>
        </w:numPr>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Security </w:t>
      </w:r>
    </w:p>
    <w:p w14:paraId="4EBA108B" w14:textId="77777777" w:rsidR="006F4FDB" w:rsidRPr="00793828" w:rsidRDefault="006F4FDB" w:rsidP="006F4FDB">
      <w:pPr>
        <w:pStyle w:val="ListParagraph"/>
        <w:shd w:val="clear" w:color="auto" w:fill="FFFFFF"/>
        <w:spacing w:before="100" w:beforeAutospacing="1" w:after="100" w:afterAutospacing="1" w:line="240" w:lineRule="auto"/>
        <w:rPr>
          <w:color w:val="2F5496" w:themeColor="accent1" w:themeShade="BF"/>
          <w:sz w:val="24"/>
          <w:szCs w:val="24"/>
        </w:rPr>
      </w:pPr>
    </w:p>
    <w:p w14:paraId="6DB973B3" w14:textId="77777777" w:rsidR="006F4FDB" w:rsidRPr="00793828" w:rsidRDefault="006F4FDB" w:rsidP="006F4FDB">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We are working towards and have some implementation already for o</w:t>
      </w:r>
      <w:r w:rsidR="00796342" w:rsidRPr="00793828">
        <w:rPr>
          <w:color w:val="2F5496" w:themeColor="accent1" w:themeShade="BF"/>
          <w:sz w:val="24"/>
          <w:szCs w:val="24"/>
        </w:rPr>
        <w:t xml:space="preserve">ur contracts </w:t>
      </w:r>
      <w:r w:rsidRPr="00793828">
        <w:rPr>
          <w:color w:val="2F5496" w:themeColor="accent1" w:themeShade="BF"/>
          <w:sz w:val="24"/>
          <w:szCs w:val="24"/>
        </w:rPr>
        <w:t>being</w:t>
      </w:r>
      <w:r w:rsidR="00796342" w:rsidRPr="00793828">
        <w:rPr>
          <w:color w:val="2F5496" w:themeColor="accent1" w:themeShade="BF"/>
          <w:sz w:val="24"/>
          <w:szCs w:val="24"/>
        </w:rPr>
        <w:t xml:space="preserve"> clear and unambiguous. They outline what we expect from the member of the workforce and what they can expect from Article 12 in Scotland. Although </w:t>
      </w:r>
      <w:r w:rsidRPr="00793828">
        <w:rPr>
          <w:color w:val="2F5496" w:themeColor="accent1" w:themeShade="BF"/>
          <w:sz w:val="24"/>
          <w:szCs w:val="24"/>
        </w:rPr>
        <w:t xml:space="preserve">some of our </w:t>
      </w:r>
      <w:r w:rsidR="00796342" w:rsidRPr="00793828">
        <w:rPr>
          <w:color w:val="2F5496" w:themeColor="accent1" w:themeShade="BF"/>
          <w:sz w:val="24"/>
          <w:szCs w:val="24"/>
        </w:rPr>
        <w:t xml:space="preserve">work is dependent on external funding, and therefore contracts are time limited, this is made clear in all contractual agreements and individuals are assured that, except in the case of serious misconduct, their contract is secure during the specified timeframe. </w:t>
      </w:r>
      <w:proofErr w:type="gramStart"/>
      <w:r w:rsidRPr="00793828">
        <w:rPr>
          <w:color w:val="2F5496" w:themeColor="accent1" w:themeShade="BF"/>
          <w:sz w:val="24"/>
          <w:szCs w:val="24"/>
        </w:rPr>
        <w:t>Again</w:t>
      </w:r>
      <w:proofErr w:type="gramEnd"/>
      <w:r w:rsidRPr="00793828">
        <w:rPr>
          <w:color w:val="2F5496" w:themeColor="accent1" w:themeShade="BF"/>
          <w:sz w:val="24"/>
          <w:szCs w:val="24"/>
        </w:rPr>
        <w:t xml:space="preserve"> this is in line with SRU recruitment. </w:t>
      </w:r>
      <w:r w:rsidR="00796342" w:rsidRPr="00793828">
        <w:rPr>
          <w:color w:val="2F5496" w:themeColor="accent1" w:themeShade="BF"/>
          <w:sz w:val="24"/>
          <w:szCs w:val="24"/>
        </w:rPr>
        <w:t xml:space="preserve">We are a family friendly organisation and as such our contracts and work plans are task completion oriented. </w:t>
      </w:r>
    </w:p>
    <w:p w14:paraId="14C97C4A" w14:textId="77777777" w:rsidR="006F4FDB" w:rsidRPr="00793828" w:rsidRDefault="006F4FDB" w:rsidP="006F4FDB">
      <w:pPr>
        <w:pStyle w:val="ListParagraph"/>
        <w:shd w:val="clear" w:color="auto" w:fill="FFFFFF"/>
        <w:spacing w:before="100" w:beforeAutospacing="1" w:after="100" w:afterAutospacing="1" w:line="240" w:lineRule="auto"/>
        <w:rPr>
          <w:color w:val="2F5496" w:themeColor="accent1" w:themeShade="BF"/>
          <w:sz w:val="24"/>
          <w:szCs w:val="24"/>
        </w:rPr>
      </w:pPr>
    </w:p>
    <w:p w14:paraId="38B88C97" w14:textId="77777777" w:rsidR="006F4FDB" w:rsidRPr="00793828" w:rsidRDefault="00796342" w:rsidP="006F4FDB">
      <w:pPr>
        <w:pStyle w:val="ListParagraph"/>
        <w:numPr>
          <w:ilvl w:val="0"/>
          <w:numId w:val="5"/>
        </w:numPr>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Fulfilment </w:t>
      </w:r>
    </w:p>
    <w:p w14:paraId="784052A2" w14:textId="77777777" w:rsidR="006F4FDB" w:rsidRPr="00793828" w:rsidRDefault="006F4FDB" w:rsidP="006F4FDB">
      <w:pPr>
        <w:pStyle w:val="ListParagraph"/>
        <w:shd w:val="clear" w:color="auto" w:fill="FFFFFF"/>
        <w:spacing w:before="100" w:beforeAutospacing="1" w:after="100" w:afterAutospacing="1" w:line="240" w:lineRule="auto"/>
        <w:rPr>
          <w:color w:val="2F5496" w:themeColor="accent1" w:themeShade="BF"/>
          <w:sz w:val="24"/>
          <w:szCs w:val="24"/>
        </w:rPr>
      </w:pPr>
    </w:p>
    <w:p w14:paraId="3505FF59" w14:textId="1AF65C51" w:rsidR="006F4FDB" w:rsidRPr="00793828" w:rsidRDefault="00796342" w:rsidP="006F4FDB">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Our devolved system of power in decision making processes such as strategic goals and </w:t>
      </w:r>
      <w:proofErr w:type="gramStart"/>
      <w:r w:rsidRPr="00793828">
        <w:rPr>
          <w:color w:val="2F5496" w:themeColor="accent1" w:themeShade="BF"/>
          <w:sz w:val="24"/>
          <w:szCs w:val="24"/>
        </w:rPr>
        <w:t>decisions</w:t>
      </w:r>
      <w:proofErr w:type="gramEnd"/>
    </w:p>
    <w:p w14:paraId="196C025C" w14:textId="77777777" w:rsidR="006F4FDB" w:rsidRPr="00793828" w:rsidRDefault="00796342" w:rsidP="006F4FDB">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on how work should be carried out at the individual and group level demonstrates our commitment to a workplace environment that delivers an authorising culture where people can make appropriate decisions and make a real difference to the design and direction of their work and the work of the organisation</w:t>
      </w:r>
      <w:r w:rsidR="006F4FDB" w:rsidRPr="00793828">
        <w:rPr>
          <w:color w:val="2F5496" w:themeColor="accent1" w:themeShade="BF"/>
          <w:sz w:val="24"/>
          <w:szCs w:val="24"/>
        </w:rPr>
        <w:t>,</w:t>
      </w:r>
      <w:r w:rsidRPr="00793828">
        <w:rPr>
          <w:color w:val="2F5496" w:themeColor="accent1" w:themeShade="BF"/>
          <w:sz w:val="24"/>
          <w:szCs w:val="24"/>
        </w:rPr>
        <w:t xml:space="preserve"> access to continuing professional and personal development opportunities demonstrates our holistic approach to supporting the aspirations and wellbeing of members of our workforce. </w:t>
      </w:r>
    </w:p>
    <w:p w14:paraId="2A920750" w14:textId="77777777" w:rsidR="006F4FDB" w:rsidRPr="00793828" w:rsidRDefault="006F4FDB" w:rsidP="006F4FDB">
      <w:pPr>
        <w:pStyle w:val="ListParagraph"/>
        <w:shd w:val="clear" w:color="auto" w:fill="FFFFFF"/>
        <w:spacing w:before="100" w:beforeAutospacing="1" w:after="100" w:afterAutospacing="1" w:line="240" w:lineRule="auto"/>
        <w:rPr>
          <w:color w:val="2F5496" w:themeColor="accent1" w:themeShade="BF"/>
          <w:sz w:val="24"/>
          <w:szCs w:val="24"/>
        </w:rPr>
      </w:pPr>
    </w:p>
    <w:p w14:paraId="45282D06" w14:textId="315414AD" w:rsidR="006F4FDB" w:rsidRPr="00793828" w:rsidRDefault="00796342" w:rsidP="006F4FDB">
      <w:pPr>
        <w:pStyle w:val="ListParagraph"/>
        <w:numPr>
          <w:ilvl w:val="0"/>
          <w:numId w:val="5"/>
        </w:numPr>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t xml:space="preserve">Respect </w:t>
      </w:r>
    </w:p>
    <w:p w14:paraId="03CDCCD2" w14:textId="77777777" w:rsidR="006F4FDB" w:rsidRPr="00793828" w:rsidRDefault="006F4FDB" w:rsidP="006F4FDB">
      <w:pPr>
        <w:pStyle w:val="ListParagraph"/>
        <w:shd w:val="clear" w:color="auto" w:fill="FFFFFF"/>
        <w:spacing w:before="100" w:beforeAutospacing="1" w:after="100" w:afterAutospacing="1" w:line="240" w:lineRule="auto"/>
        <w:rPr>
          <w:color w:val="2F5496" w:themeColor="accent1" w:themeShade="BF"/>
          <w:sz w:val="24"/>
          <w:szCs w:val="24"/>
        </w:rPr>
      </w:pPr>
    </w:p>
    <w:p w14:paraId="6E8A8D37" w14:textId="3E58D132" w:rsidR="00796342" w:rsidRPr="00793828" w:rsidRDefault="00796342" w:rsidP="006F4FDB">
      <w:pPr>
        <w:pStyle w:val="ListParagraph"/>
        <w:shd w:val="clear" w:color="auto" w:fill="FFFFFF"/>
        <w:spacing w:before="100" w:beforeAutospacing="1" w:after="100" w:afterAutospacing="1" w:line="240" w:lineRule="auto"/>
        <w:rPr>
          <w:color w:val="2F5496" w:themeColor="accent1" w:themeShade="BF"/>
          <w:sz w:val="24"/>
          <w:szCs w:val="24"/>
        </w:rPr>
      </w:pPr>
      <w:r w:rsidRPr="00793828">
        <w:rPr>
          <w:color w:val="2F5496" w:themeColor="accent1" w:themeShade="BF"/>
          <w:sz w:val="24"/>
          <w:szCs w:val="24"/>
        </w:rPr>
        <w:lastRenderedPageBreak/>
        <w:t xml:space="preserve">We continuously strive to create a culture of respect across our workforce, between our workforce and the people we work for, and with and our Board of Trustees. Our high expectations around respect are outlined in our </w:t>
      </w:r>
      <w:r w:rsidR="006F4FDB" w:rsidRPr="00793828">
        <w:rPr>
          <w:color w:val="2F5496" w:themeColor="accent1" w:themeShade="BF"/>
          <w:sz w:val="24"/>
          <w:szCs w:val="24"/>
        </w:rPr>
        <w:t>Equality and Diversity</w:t>
      </w:r>
      <w:r w:rsidRPr="00793828">
        <w:rPr>
          <w:color w:val="2F5496" w:themeColor="accent1" w:themeShade="BF"/>
          <w:sz w:val="24"/>
          <w:szCs w:val="24"/>
        </w:rPr>
        <w:t xml:space="preserve">, Standards of Behaviour, </w:t>
      </w:r>
      <w:proofErr w:type="gramStart"/>
      <w:r w:rsidRPr="00793828">
        <w:rPr>
          <w:color w:val="2F5496" w:themeColor="accent1" w:themeShade="BF"/>
          <w:sz w:val="24"/>
          <w:szCs w:val="24"/>
        </w:rPr>
        <w:t>Health</w:t>
      </w:r>
      <w:proofErr w:type="gramEnd"/>
      <w:r w:rsidR="006F4FDB" w:rsidRPr="00793828">
        <w:rPr>
          <w:color w:val="2F5496" w:themeColor="accent1" w:themeShade="BF"/>
          <w:sz w:val="24"/>
          <w:szCs w:val="24"/>
        </w:rPr>
        <w:t xml:space="preserve"> and</w:t>
      </w:r>
      <w:r w:rsidRPr="00793828">
        <w:rPr>
          <w:color w:val="2F5496" w:themeColor="accent1" w:themeShade="BF"/>
          <w:sz w:val="24"/>
          <w:szCs w:val="24"/>
        </w:rPr>
        <w:t xml:space="preserve"> Safety Policies. These and other policies are reviewed </w:t>
      </w:r>
      <w:proofErr w:type="gramStart"/>
      <w:r w:rsidRPr="00793828">
        <w:rPr>
          <w:color w:val="2F5496" w:themeColor="accent1" w:themeShade="BF"/>
          <w:sz w:val="24"/>
          <w:szCs w:val="24"/>
        </w:rPr>
        <w:t>annually</w:t>
      </w:r>
      <w:proofErr w:type="gramEnd"/>
      <w:r w:rsidRPr="00793828">
        <w:rPr>
          <w:color w:val="2F5496" w:themeColor="accent1" w:themeShade="BF"/>
          <w:sz w:val="24"/>
          <w:szCs w:val="24"/>
        </w:rPr>
        <w:t xml:space="preserve"> and members of the workforce are required to familiarise themselves with any updates. We have a fair, transparent, </w:t>
      </w:r>
      <w:proofErr w:type="gramStart"/>
      <w:r w:rsidRPr="00793828">
        <w:rPr>
          <w:color w:val="2F5496" w:themeColor="accent1" w:themeShade="BF"/>
          <w:sz w:val="24"/>
          <w:szCs w:val="24"/>
        </w:rPr>
        <w:t>constructive</w:t>
      </w:r>
      <w:proofErr w:type="gramEnd"/>
      <w:r w:rsidRPr="00793828">
        <w:rPr>
          <w:color w:val="2F5496" w:themeColor="accent1" w:themeShade="BF"/>
          <w:sz w:val="24"/>
          <w:szCs w:val="24"/>
        </w:rPr>
        <w:t xml:space="preserve"> and pluralistic approach to dealing with conflict</w:t>
      </w:r>
      <w:r w:rsidR="00793828" w:rsidRPr="00793828">
        <w:rPr>
          <w:color w:val="2F5496" w:themeColor="accent1" w:themeShade="BF"/>
          <w:sz w:val="24"/>
          <w:szCs w:val="24"/>
        </w:rPr>
        <w:t xml:space="preserve">. </w:t>
      </w:r>
      <w:r w:rsidRPr="00793828">
        <w:rPr>
          <w:color w:val="2F5496" w:themeColor="accent1" w:themeShade="BF"/>
          <w:sz w:val="24"/>
          <w:szCs w:val="24"/>
        </w:rPr>
        <w:t xml:space="preserve">Our first step is to </w:t>
      </w:r>
      <w:proofErr w:type="gramStart"/>
      <w:r w:rsidRPr="00793828">
        <w:rPr>
          <w:color w:val="2F5496" w:themeColor="accent1" w:themeShade="BF"/>
          <w:sz w:val="24"/>
          <w:szCs w:val="24"/>
        </w:rPr>
        <w:t>enter into</w:t>
      </w:r>
      <w:proofErr w:type="gramEnd"/>
      <w:r w:rsidRPr="00793828">
        <w:rPr>
          <w:color w:val="2F5496" w:themeColor="accent1" w:themeShade="BF"/>
          <w:sz w:val="24"/>
          <w:szCs w:val="24"/>
        </w:rPr>
        <w:t xml:space="preserve"> dialogue with each individual to identify possible solutions/reframe the causes or effects of the conflict. If this does not address the </w:t>
      </w:r>
      <w:proofErr w:type="gramStart"/>
      <w:r w:rsidRPr="00793828">
        <w:rPr>
          <w:color w:val="2F5496" w:themeColor="accent1" w:themeShade="BF"/>
          <w:sz w:val="24"/>
          <w:szCs w:val="24"/>
        </w:rPr>
        <w:t>issue</w:t>
      </w:r>
      <w:proofErr w:type="gramEnd"/>
      <w:r w:rsidRPr="00793828">
        <w:rPr>
          <w:color w:val="2F5496" w:themeColor="accent1" w:themeShade="BF"/>
          <w:sz w:val="24"/>
          <w:szCs w:val="24"/>
        </w:rPr>
        <w:t xml:space="preserve"> then we move to a formal process of mediation. If that stage does not </w:t>
      </w:r>
      <w:proofErr w:type="gramStart"/>
      <w:r w:rsidRPr="00793828">
        <w:rPr>
          <w:color w:val="2F5496" w:themeColor="accent1" w:themeShade="BF"/>
          <w:sz w:val="24"/>
          <w:szCs w:val="24"/>
        </w:rPr>
        <w:t>succeed</w:t>
      </w:r>
      <w:proofErr w:type="gramEnd"/>
      <w:r w:rsidRPr="00793828">
        <w:rPr>
          <w:color w:val="2F5496" w:themeColor="accent1" w:themeShade="BF"/>
          <w:sz w:val="24"/>
          <w:szCs w:val="24"/>
        </w:rPr>
        <w:t xml:space="preserve"> then our complaints procedure is engaged. We </w:t>
      </w:r>
      <w:r w:rsidR="00793828" w:rsidRPr="00793828">
        <w:rPr>
          <w:color w:val="2F5496" w:themeColor="accent1" w:themeShade="BF"/>
          <w:sz w:val="24"/>
          <w:szCs w:val="24"/>
        </w:rPr>
        <w:t>utilise the support of ACAS and its policies.</w:t>
      </w:r>
    </w:p>
    <w:p w14:paraId="1753101D" w14:textId="2DB416D2" w:rsidR="00796342" w:rsidRPr="00793828" w:rsidRDefault="00793828" w:rsidP="00796342">
      <w:pPr>
        <w:shd w:val="clear" w:color="auto" w:fill="FFFFFF"/>
        <w:spacing w:before="100" w:beforeAutospacing="1" w:after="100" w:afterAutospacing="1" w:line="240" w:lineRule="auto"/>
        <w:rPr>
          <w:rFonts w:ascii="Roboto" w:eastAsia="Times New Roman" w:hAnsi="Roboto" w:cs="Times New Roman"/>
          <w:color w:val="2F5496" w:themeColor="accent1" w:themeShade="BF"/>
          <w:kern w:val="0"/>
          <w:sz w:val="24"/>
          <w:szCs w:val="24"/>
          <w:lang w:eastAsia="en-GB"/>
          <w14:ligatures w14:val="none"/>
        </w:rPr>
      </w:pPr>
      <w:r w:rsidRPr="00793828">
        <w:rPr>
          <w:color w:val="2F5496" w:themeColor="accent1" w:themeShade="BF"/>
          <w:sz w:val="24"/>
          <w:szCs w:val="24"/>
        </w:rPr>
        <w:t>Legislation:</w:t>
      </w:r>
      <w:r w:rsidRPr="00793828">
        <w:rPr>
          <w:color w:val="2F5496" w:themeColor="accent1" w:themeShade="BF"/>
          <w:sz w:val="24"/>
          <w:szCs w:val="24"/>
        </w:rPr>
        <w:br/>
      </w:r>
      <w:r w:rsidR="00796342" w:rsidRPr="00793828">
        <w:rPr>
          <w:color w:val="2F5496" w:themeColor="accent1" w:themeShade="BF"/>
          <w:sz w:val="24"/>
          <w:szCs w:val="24"/>
        </w:rPr>
        <w:t xml:space="preserve">Scottish Government (2021) FAIR WORK FIRST GUIDANCE: Supporting the implementation of Fair Work First in workplaces across Scotland. Online at: Fair Work First: guidance to support implementation - </w:t>
      </w:r>
      <w:proofErr w:type="spellStart"/>
      <w:r w:rsidR="00796342" w:rsidRPr="00793828">
        <w:rPr>
          <w:color w:val="2F5496" w:themeColor="accent1" w:themeShade="BF"/>
          <w:sz w:val="24"/>
          <w:szCs w:val="24"/>
        </w:rPr>
        <w:t>gov.scot</w:t>
      </w:r>
      <w:proofErr w:type="spellEnd"/>
      <w:r w:rsidR="00796342" w:rsidRPr="00793828">
        <w:rPr>
          <w:color w:val="2F5496" w:themeColor="accent1" w:themeShade="BF"/>
          <w:sz w:val="24"/>
          <w:szCs w:val="24"/>
        </w:rPr>
        <w:t xml:space="preserve"> </w:t>
      </w:r>
    </w:p>
    <w:p w14:paraId="73A03411" w14:textId="77777777" w:rsidR="00B16D43" w:rsidRPr="00793828" w:rsidRDefault="00B16D43" w:rsidP="00B16D43">
      <w:pPr>
        <w:spacing w:after="0" w:line="240" w:lineRule="auto"/>
        <w:outlineLvl w:val="0"/>
        <w:rPr>
          <w:color w:val="2F5496" w:themeColor="accent1" w:themeShade="BF"/>
          <w:sz w:val="24"/>
          <w:szCs w:val="24"/>
        </w:rPr>
      </w:pPr>
      <w:r w:rsidRPr="00793828">
        <w:rPr>
          <w:color w:val="2F5496" w:themeColor="accent1" w:themeShade="BF"/>
          <w:sz w:val="24"/>
          <w:szCs w:val="24"/>
        </w:rPr>
        <w:t xml:space="preserve">Adopted 25/10/23. </w:t>
      </w:r>
    </w:p>
    <w:p w14:paraId="1626D40F" w14:textId="77777777" w:rsidR="00B16D43" w:rsidRPr="00793828" w:rsidRDefault="00B16D43" w:rsidP="00B16D43">
      <w:pPr>
        <w:spacing w:after="0" w:line="240" w:lineRule="auto"/>
        <w:outlineLvl w:val="0"/>
        <w:rPr>
          <w:color w:val="2F5496" w:themeColor="accent1" w:themeShade="BF"/>
          <w:sz w:val="24"/>
          <w:szCs w:val="24"/>
        </w:rPr>
      </w:pPr>
    </w:p>
    <w:p w14:paraId="6329F95B" w14:textId="48278E60" w:rsidR="00B16D43" w:rsidRPr="00793828" w:rsidRDefault="00B16D43" w:rsidP="00B16D43">
      <w:pPr>
        <w:spacing w:after="0" w:line="240" w:lineRule="auto"/>
        <w:outlineLvl w:val="0"/>
        <w:rPr>
          <w:rFonts w:ascii="Oswald" w:eastAsia="Times New Roman" w:hAnsi="Oswald" w:cs="Times New Roman"/>
          <w:b/>
          <w:bCs/>
          <w:caps/>
          <w:color w:val="2F5496" w:themeColor="accent1" w:themeShade="BF"/>
          <w:kern w:val="36"/>
          <w:sz w:val="24"/>
          <w:szCs w:val="24"/>
          <w:lang w:eastAsia="en-GB"/>
          <w14:ligatures w14:val="none"/>
        </w:rPr>
      </w:pPr>
      <w:r w:rsidRPr="00793828">
        <w:rPr>
          <w:color w:val="2F5496" w:themeColor="accent1" w:themeShade="BF"/>
          <w:sz w:val="24"/>
          <w:szCs w:val="24"/>
        </w:rPr>
        <w:t>This Policy is to be review annually by the Board</w:t>
      </w:r>
      <w:r w:rsidR="001E284E" w:rsidRPr="00793828">
        <w:rPr>
          <w:color w:val="2F5496" w:themeColor="accent1" w:themeShade="BF"/>
          <w:sz w:val="24"/>
          <w:szCs w:val="24"/>
        </w:rPr>
        <w:t>.</w:t>
      </w:r>
    </w:p>
    <w:sectPr w:rsidR="00B16D43" w:rsidRPr="00793828" w:rsidSect="000B18A6">
      <w:headerReference w:type="even" r:id="rId8"/>
      <w:headerReference w:type="default" r:id="rId9"/>
      <w:headerReference w:type="first" r:id="rId10"/>
      <w:pgSz w:w="11906" w:h="16838"/>
      <w:pgMar w:top="170" w:right="567" w:bottom="170" w:left="567"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9BDC" w14:textId="77777777" w:rsidR="0075394B" w:rsidRDefault="0075394B" w:rsidP="000B18A6">
      <w:pPr>
        <w:spacing w:after="0" w:line="240" w:lineRule="auto"/>
      </w:pPr>
      <w:r>
        <w:separator/>
      </w:r>
    </w:p>
  </w:endnote>
  <w:endnote w:type="continuationSeparator" w:id="0">
    <w:p w14:paraId="0615BD32" w14:textId="77777777" w:rsidR="0075394B" w:rsidRDefault="0075394B" w:rsidP="000B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9B85" w14:textId="77777777" w:rsidR="0075394B" w:rsidRDefault="0075394B" w:rsidP="000B18A6">
      <w:pPr>
        <w:spacing w:after="0" w:line="240" w:lineRule="auto"/>
      </w:pPr>
      <w:r>
        <w:separator/>
      </w:r>
    </w:p>
  </w:footnote>
  <w:footnote w:type="continuationSeparator" w:id="0">
    <w:p w14:paraId="58BFF644" w14:textId="77777777" w:rsidR="0075394B" w:rsidRDefault="0075394B" w:rsidP="000B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594C" w14:textId="77777777" w:rsidR="000B18A6" w:rsidRDefault="00000000">
    <w:pPr>
      <w:pStyle w:val="Header"/>
    </w:pPr>
    <w:r>
      <w:rPr>
        <w:noProof/>
      </w:rPr>
      <w:pict w14:anchorId="1C3C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4" o:spid="_x0000_s1029" type="#_x0000_t75" style="position:absolute;margin-left:0;margin-top:0;width:510.15pt;height:697.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5DEA" w14:textId="77777777" w:rsidR="000B18A6" w:rsidRDefault="00000000">
    <w:pPr>
      <w:pStyle w:val="Header"/>
    </w:pPr>
    <w:r>
      <w:rPr>
        <w:noProof/>
      </w:rPr>
      <w:pict w14:anchorId="47798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5" o:spid="_x0000_s1030" type="#_x0000_t75" style="position:absolute;margin-left:14.25pt;margin-top:111.85pt;width:510.15pt;height:697.5pt;z-index:-251656192;mso-position-horizontal-relative:margin;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5B5" w14:textId="77777777" w:rsidR="000B18A6" w:rsidRDefault="00000000">
    <w:pPr>
      <w:pStyle w:val="Header"/>
    </w:pPr>
    <w:r>
      <w:rPr>
        <w:noProof/>
      </w:rPr>
      <w:pict w14:anchorId="1C66B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3" o:spid="_x0000_s1028" type="#_x0000_t75" style="position:absolute;margin-left:0;margin-top:0;width:510.15pt;height:697.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B1"/>
    <w:multiLevelType w:val="multilevel"/>
    <w:tmpl w:val="0CBA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45FB7"/>
    <w:multiLevelType w:val="multilevel"/>
    <w:tmpl w:val="6BE25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BF55E5D"/>
    <w:multiLevelType w:val="multilevel"/>
    <w:tmpl w:val="BC6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E4264"/>
    <w:multiLevelType w:val="hybridMultilevel"/>
    <w:tmpl w:val="150CC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D03031"/>
    <w:multiLevelType w:val="multilevel"/>
    <w:tmpl w:val="FA80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45863">
    <w:abstractNumId w:val="2"/>
  </w:num>
  <w:num w:numId="2" w16cid:durableId="1122964641">
    <w:abstractNumId w:val="1"/>
  </w:num>
  <w:num w:numId="3" w16cid:durableId="193468113">
    <w:abstractNumId w:val="0"/>
  </w:num>
  <w:num w:numId="4" w16cid:durableId="1536458413">
    <w:abstractNumId w:val="4"/>
  </w:num>
  <w:num w:numId="5" w16cid:durableId="144053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9D"/>
    <w:rsid w:val="00015B9A"/>
    <w:rsid w:val="000B18A6"/>
    <w:rsid w:val="001E284E"/>
    <w:rsid w:val="001E562B"/>
    <w:rsid w:val="001F0B8A"/>
    <w:rsid w:val="0030079E"/>
    <w:rsid w:val="00584319"/>
    <w:rsid w:val="006F4FDB"/>
    <w:rsid w:val="0075394B"/>
    <w:rsid w:val="00793828"/>
    <w:rsid w:val="00796342"/>
    <w:rsid w:val="008041F6"/>
    <w:rsid w:val="009328ED"/>
    <w:rsid w:val="00B16D43"/>
    <w:rsid w:val="00B826CA"/>
    <w:rsid w:val="00D055CE"/>
    <w:rsid w:val="00F43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A301"/>
  <w15:chartTrackingRefBased/>
  <w15:docId w15:val="{F058019E-E824-4BB7-82C5-2E68C8DF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8A6"/>
  </w:style>
  <w:style w:type="paragraph" w:styleId="Footer">
    <w:name w:val="footer"/>
    <w:basedOn w:val="Normal"/>
    <w:link w:val="FooterChar"/>
    <w:uiPriority w:val="99"/>
    <w:unhideWhenUsed/>
    <w:rsid w:val="000B1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8A6"/>
  </w:style>
  <w:style w:type="character" w:styleId="Hyperlink">
    <w:name w:val="Hyperlink"/>
    <w:basedOn w:val="DefaultParagraphFont"/>
    <w:uiPriority w:val="99"/>
    <w:semiHidden/>
    <w:unhideWhenUsed/>
    <w:rsid w:val="001E284E"/>
    <w:rPr>
      <w:color w:val="0000FF"/>
      <w:u w:val="single"/>
    </w:rPr>
  </w:style>
  <w:style w:type="paragraph" w:styleId="ListParagraph">
    <w:name w:val="List Paragraph"/>
    <w:basedOn w:val="Normal"/>
    <w:uiPriority w:val="34"/>
    <w:qFormat/>
    <w:rsid w:val="001E284E"/>
    <w:pPr>
      <w:ind w:left="720"/>
      <w:contextualSpacing/>
    </w:pPr>
  </w:style>
  <w:style w:type="table" w:styleId="TableGrid">
    <w:name w:val="Table Grid"/>
    <w:basedOn w:val="TableNormal"/>
    <w:uiPriority w:val="99"/>
    <w:rsid w:val="001F0B8A"/>
    <w:pPr>
      <w:spacing w:after="0" w:line="240" w:lineRule="auto"/>
    </w:pPr>
    <w:rPr>
      <w:rFonts w:ascii="Calibri" w:eastAsia="Times New Roman" w:hAnsi="Calibri" w:cs="Times New Roman"/>
      <w:kern w:val="0"/>
      <w:sz w:val="20"/>
      <w:szCs w:val="20"/>
      <w:lang w:eastAsia="en-GB"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35270">
      <w:bodyDiv w:val="1"/>
      <w:marLeft w:val="0"/>
      <w:marRight w:val="0"/>
      <w:marTop w:val="0"/>
      <w:marBottom w:val="0"/>
      <w:divBdr>
        <w:top w:val="none" w:sz="0" w:space="0" w:color="auto"/>
        <w:left w:val="none" w:sz="0" w:space="0" w:color="auto"/>
        <w:bottom w:val="none" w:sz="0" w:space="0" w:color="auto"/>
        <w:right w:val="none" w:sz="0" w:space="0" w:color="auto"/>
      </w:divBdr>
    </w:div>
    <w:div w:id="1406025364">
      <w:bodyDiv w:val="1"/>
      <w:marLeft w:val="0"/>
      <w:marRight w:val="0"/>
      <w:marTop w:val="0"/>
      <w:marBottom w:val="0"/>
      <w:divBdr>
        <w:top w:val="none" w:sz="0" w:space="0" w:color="auto"/>
        <w:left w:val="none" w:sz="0" w:space="0" w:color="auto"/>
        <w:bottom w:val="none" w:sz="0" w:space="0" w:color="auto"/>
        <w:right w:val="none" w:sz="0" w:space="0" w:color="auto"/>
      </w:divBdr>
      <w:divsChild>
        <w:div w:id="2130080505">
          <w:marLeft w:val="0"/>
          <w:marRight w:val="0"/>
          <w:marTop w:val="0"/>
          <w:marBottom w:val="0"/>
          <w:divBdr>
            <w:top w:val="none" w:sz="0" w:space="0" w:color="auto"/>
            <w:left w:val="none" w:sz="0" w:space="0" w:color="auto"/>
            <w:bottom w:val="none" w:sz="0" w:space="0" w:color="auto"/>
            <w:right w:val="none" w:sz="0" w:space="0" w:color="auto"/>
          </w:divBdr>
        </w:div>
      </w:divsChild>
    </w:div>
    <w:div w:id="2046326205">
      <w:bodyDiv w:val="1"/>
      <w:marLeft w:val="0"/>
      <w:marRight w:val="0"/>
      <w:marTop w:val="0"/>
      <w:marBottom w:val="0"/>
      <w:divBdr>
        <w:top w:val="none" w:sz="0" w:space="0" w:color="auto"/>
        <w:left w:val="none" w:sz="0" w:space="0" w:color="auto"/>
        <w:bottom w:val="none" w:sz="0" w:space="0" w:color="auto"/>
        <w:right w:val="none" w:sz="0" w:space="0" w:color="auto"/>
      </w:divBdr>
    </w:div>
    <w:div w:id="20990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FRASER</dc:creator>
  <cp:keywords/>
  <dc:description/>
  <cp:lastModifiedBy>fIONA FRASER</cp:lastModifiedBy>
  <cp:revision>2</cp:revision>
  <dcterms:created xsi:type="dcterms:W3CDTF">2023-11-20T16:01:00Z</dcterms:created>
  <dcterms:modified xsi:type="dcterms:W3CDTF">2023-11-20T16:01:00Z</dcterms:modified>
</cp:coreProperties>
</file>